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1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spacing w:line="333" w:lineRule="auto" w:before="79"/>
        <w:ind w:left="228" w:right="8124" w:firstLine="0"/>
        <w:jc w:val="left"/>
        <w:rPr>
          <w:rFonts w:ascii="Arial" w:hAnsi="Arial" w:cs="Arial" w:eastAsia="Arial"/>
          <w:sz w:val="16"/>
          <w:szCs w:val="16"/>
        </w:rPr>
      </w:pPr>
      <w:r>
        <w:rPr/>
        <w:pict>
          <v:group style="position:absolute;margin-left:210.360001pt;margin-top:15.054075pt;width:333pt;height:.1pt;mso-position-horizontal-relative:page;mso-position-vertical-relative:paragraph;z-index:0" coordorigin="4207,301" coordsize="6660,2">
            <v:shape style="position:absolute;left:4207;top:301;width:6660;height:2" coordorigin="4207,301" coordsize="6660,0" path="m4207,301l10867,301e" filled="false" stroked="true" strokeweight=".47998pt" strokecolor="#000000">
              <v:path arrowok="t"/>
            </v:shape>
            <w10:wrap type="none"/>
          </v:group>
        </w:pict>
      </w:r>
      <w:r>
        <w:rPr/>
        <w:pict>
          <v:group style="position:absolute;margin-left:210.360001pt;margin-top:27.774075pt;width:333pt;height:.1pt;mso-position-horizontal-relative:page;mso-position-vertical-relative:paragraph;z-index:1048" coordorigin="4207,555" coordsize="6660,2">
            <v:shape style="position:absolute;left:4207;top:555;width:6660;height:2" coordorigin="4207,555" coordsize="6660,0" path="m4207,555l10867,555e" filled="false" stroked="true" strokeweight=".47998pt" strokecolor="#000000">
              <v:path arrowok="t"/>
            </v:shape>
            <w10:wrap type="none"/>
          </v:group>
        </w:pict>
      </w:r>
      <w:r>
        <w:rPr>
          <w:rFonts w:ascii="Arial"/>
          <w:sz w:val="16"/>
        </w:rPr>
        <w:t>Business</w:t>
      </w:r>
      <w:r>
        <w:rPr>
          <w:rFonts w:ascii="Arial"/>
          <w:spacing w:val="-1"/>
          <w:sz w:val="16"/>
        </w:rPr>
        <w:t> </w:t>
      </w:r>
      <w:r>
        <w:rPr>
          <w:rFonts w:ascii="Arial"/>
          <w:sz w:val="16"/>
        </w:rPr>
        <w:t>Name:</w:t>
      </w:r>
      <w:r>
        <w:rPr>
          <w:rFonts w:ascii="Arial"/>
          <w:w w:val="99"/>
          <w:sz w:val="16"/>
        </w:rPr>
        <w:t> </w:t>
      </w:r>
      <w:r>
        <w:rPr>
          <w:rFonts w:ascii="Arial"/>
          <w:sz w:val="16"/>
        </w:rPr>
        <w:t>Business</w:t>
      </w:r>
      <w:r>
        <w:rPr>
          <w:rFonts w:ascii="Arial"/>
          <w:spacing w:val="-4"/>
          <w:sz w:val="16"/>
        </w:rPr>
        <w:t> </w:t>
      </w:r>
      <w:r>
        <w:rPr>
          <w:rFonts w:ascii="Arial"/>
          <w:sz w:val="16"/>
        </w:rPr>
        <w:t>Address:</w:t>
      </w:r>
    </w:p>
    <w:p>
      <w:pPr>
        <w:spacing w:line="240" w:lineRule="auto" w:before="5"/>
        <w:rPr>
          <w:rFonts w:ascii="Arial" w:hAnsi="Arial" w:cs="Arial" w:eastAsia="Arial"/>
          <w:sz w:val="20"/>
          <w:szCs w:val="20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3420"/>
        <w:gridCol w:w="1350"/>
        <w:gridCol w:w="1350"/>
        <w:gridCol w:w="1350"/>
        <w:gridCol w:w="1350"/>
      </w:tblGrid>
      <w:tr>
        <w:trPr>
          <w:trHeight w:val="227" w:hRule="exact"/>
        </w:trPr>
        <w:tc>
          <w:tcPr>
            <w:tcW w:w="4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>
            <w:pPr>
              <w:pStyle w:val="TableParagraph"/>
              <w:spacing w:line="240" w:lineRule="auto" w:before="14"/>
              <w:ind w:left="26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FFFFFF"/>
                <w:sz w:val="16"/>
              </w:rPr>
              <w:t>Pro-Forma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FFFFFF"/>
                <w:sz w:val="16"/>
              </w:rPr>
              <w:t>Year</w:t>
            </w:r>
            <w:r>
              <w:rPr>
                <w:rFonts w:ascii="Arial"/>
                <w:b/>
                <w:color w:val="FFFFFF"/>
                <w:spacing w:val="-2"/>
                <w:sz w:val="16"/>
              </w:rPr>
              <w:t> </w:t>
            </w:r>
            <w:r>
              <w:rPr>
                <w:rFonts w:ascii="Arial"/>
                <w:b/>
                <w:color w:val="FFFFFF"/>
                <w:sz w:val="16"/>
              </w:rPr>
              <w:t>1: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FFFFFF"/>
                <w:sz w:val="16"/>
              </w:rPr>
              <w:t>Year</w:t>
            </w:r>
            <w:r>
              <w:rPr>
                <w:rFonts w:ascii="Arial"/>
                <w:b/>
                <w:color w:val="FFFFFF"/>
                <w:spacing w:val="-2"/>
                <w:sz w:val="16"/>
              </w:rPr>
              <w:t> </w:t>
            </w:r>
            <w:r>
              <w:rPr>
                <w:rFonts w:ascii="Arial"/>
                <w:b/>
                <w:color w:val="FFFFFF"/>
                <w:sz w:val="16"/>
              </w:rPr>
              <w:t>2: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FFFFFF"/>
                <w:sz w:val="16"/>
              </w:rPr>
              <w:t>Year</w:t>
            </w:r>
            <w:r>
              <w:rPr>
                <w:rFonts w:ascii="Arial"/>
                <w:b/>
                <w:color w:val="FFFFFF"/>
                <w:spacing w:val="-2"/>
                <w:sz w:val="16"/>
              </w:rPr>
              <w:t> </w:t>
            </w:r>
            <w:r>
              <w:rPr>
                <w:rFonts w:ascii="Arial"/>
                <w:b/>
                <w:color w:val="FFFFFF"/>
                <w:sz w:val="16"/>
              </w:rPr>
              <w:t>3: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87" w:hRule="exact"/>
        </w:trPr>
        <w:tc>
          <w:tcPr>
            <w:tcW w:w="9434" w:type="dxa"/>
            <w:gridSpan w:val="6"/>
            <w:tcBorders>
              <w:top w:val="single" w:sz="18" w:space="0" w:color="000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</w:tcPr>
          <w:p>
            <w:pPr>
              <w:pStyle w:val="TableParagraph"/>
              <w:spacing w:line="240" w:lineRule="auto" w:before="73"/>
              <w:ind w:right="0"/>
              <w:jc w:val="center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b/>
                <w:color w:val="FFFFFF"/>
                <w:sz w:val="18"/>
              </w:rPr>
              <w:t>A</w:t>
            </w:r>
            <w:r>
              <w:rPr>
                <w:rFonts w:ascii="Arial"/>
                <w:b/>
                <w:color w:val="FFFFFF"/>
                <w:sz w:val="14"/>
              </w:rPr>
              <w:t>SSETS</w:t>
            </w:r>
            <w:r>
              <w:rPr>
                <w:rFonts w:ascii="Arial"/>
                <w:sz w:val="14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71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Current</w:t>
            </w:r>
            <w:r>
              <w:rPr>
                <w:rFonts w:ascii="Arial"/>
                <w:b/>
                <w:spacing w:val="-3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Cash on hands in</w:t>
            </w:r>
            <w:r>
              <w:rPr>
                <w:rFonts w:ascii="Arial"/>
                <w:spacing w:val="-3"/>
                <w:sz w:val="16"/>
              </w:rPr>
              <w:t> </w:t>
            </w:r>
            <w:r>
              <w:rPr>
                <w:rFonts w:ascii="Arial"/>
                <w:sz w:val="16"/>
              </w:rPr>
              <w:t>banks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Time deposits and short-term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investments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Accounts</w:t>
            </w:r>
            <w:r>
              <w:rPr>
                <w:rFonts w:ascii="Arial"/>
                <w:spacing w:val="-4"/>
                <w:sz w:val="16"/>
              </w:rPr>
              <w:t> </w:t>
            </w:r>
            <w:r>
              <w:rPr>
                <w:rFonts w:ascii="Arial"/>
                <w:sz w:val="16"/>
              </w:rPr>
              <w:t>Receivable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(Less: Allowance for doubtful</w:t>
            </w:r>
            <w:r>
              <w:rPr>
                <w:rFonts w:ascii="Arial"/>
                <w:spacing w:val="-7"/>
                <w:sz w:val="16"/>
              </w:rPr>
              <w:t> </w:t>
            </w:r>
            <w:r>
              <w:rPr>
                <w:rFonts w:ascii="Arial"/>
                <w:sz w:val="16"/>
              </w:rPr>
              <w:t>accounts)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Inventories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Prepayments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9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28" w:hRule="exact"/>
        </w:trPr>
        <w:tc>
          <w:tcPr>
            <w:tcW w:w="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Net Total of Current</w:t>
            </w:r>
            <w:r>
              <w:rPr>
                <w:rFonts w:ascii="Arial"/>
                <w:b/>
                <w:spacing w:val="-1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9" w:hRule="exact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27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Fixed</w:t>
            </w:r>
            <w:r>
              <w:rPr>
                <w:rFonts w:ascii="Arial"/>
                <w:b/>
                <w:spacing w:val="-10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342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Land</w:t>
            </w:r>
          </w:p>
        </w:tc>
        <w:tc>
          <w:tcPr>
            <w:tcW w:w="135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7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Buildings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0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Furniture and</w:t>
            </w:r>
            <w:r>
              <w:rPr>
                <w:rFonts w:ascii="Arial"/>
                <w:spacing w:val="-4"/>
                <w:sz w:val="16"/>
              </w:rPr>
              <w:t> </w:t>
            </w:r>
            <w:r>
              <w:rPr>
                <w:rFonts w:ascii="Arial"/>
                <w:sz w:val="16"/>
              </w:rPr>
              <w:t>equipment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0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0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0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0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80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(Less: Accumulated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depreciation)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27" w:hRule="exact"/>
        </w:trPr>
        <w:tc>
          <w:tcPr>
            <w:tcW w:w="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Net Total of Fixed</w:t>
            </w:r>
            <w:r>
              <w:rPr>
                <w:rFonts w:ascii="Arial"/>
                <w:b/>
                <w:spacing w:val="-1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9" w:hRule="exact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>
              <w:pStyle w:val="TableParagraph"/>
              <w:spacing w:line="247" w:lineRule="auto" w:before="114"/>
              <w:ind w:left="241" w:right="272" w:firstLine="49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Other</w:t>
            </w:r>
            <w:r>
              <w:rPr>
                <w:rFonts w:ascii="Arial"/>
                <w:b/>
                <w:spacing w:val="-1"/>
                <w:w w:val="99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342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6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8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28" w:hRule="exact"/>
        </w:trPr>
        <w:tc>
          <w:tcPr>
            <w:tcW w:w="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Net Total of Other</w:t>
            </w:r>
            <w:r>
              <w:rPr>
                <w:rFonts w:ascii="Arial"/>
                <w:b/>
                <w:spacing w:val="-1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88" w:hRule="exact"/>
        </w:trPr>
        <w:tc>
          <w:tcPr>
            <w:tcW w:w="4034" w:type="dxa"/>
            <w:gridSpan w:val="2"/>
            <w:tcBorders>
              <w:top w:val="single" w:sz="14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9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Total</w:t>
            </w:r>
            <w:r>
              <w:rPr>
                <w:rFonts w:ascii="Arial"/>
                <w:b/>
                <w:spacing w:val="-9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8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8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9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8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69" w:hRule="exact"/>
        </w:trPr>
        <w:tc>
          <w:tcPr>
            <w:tcW w:w="94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</w:tcPr>
          <w:p>
            <w:pPr>
              <w:pStyle w:val="TableParagraph"/>
              <w:spacing w:line="240" w:lineRule="auto" w:before="73"/>
              <w:ind w:right="0"/>
              <w:jc w:val="center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b/>
                <w:color w:val="FFFFFF"/>
                <w:sz w:val="18"/>
              </w:rPr>
              <w:t>L</w:t>
            </w:r>
            <w:r>
              <w:rPr>
                <w:rFonts w:ascii="Arial"/>
                <w:b/>
                <w:color w:val="FFFFFF"/>
                <w:sz w:val="14"/>
              </w:rPr>
              <w:t>IABILITIES AND</w:t>
            </w:r>
            <w:r>
              <w:rPr>
                <w:rFonts w:ascii="Arial"/>
                <w:b/>
                <w:color w:val="FFFFFF"/>
                <w:spacing w:val="-9"/>
                <w:sz w:val="14"/>
              </w:rPr>
              <w:t> </w:t>
            </w:r>
            <w:r>
              <w:rPr>
                <w:rFonts w:ascii="Arial"/>
                <w:b/>
                <w:color w:val="FFFFFF"/>
                <w:sz w:val="18"/>
              </w:rPr>
              <w:t>E</w:t>
            </w:r>
            <w:r>
              <w:rPr>
                <w:rFonts w:ascii="Arial"/>
                <w:b/>
                <w:color w:val="FFFFFF"/>
                <w:sz w:val="14"/>
              </w:rPr>
              <w:t>QUITIES</w:t>
            </w:r>
            <w:r>
              <w:rPr>
                <w:rFonts w:ascii="Arial"/>
                <w:sz w:val="14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4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Current</w:t>
            </w:r>
            <w:r>
              <w:rPr>
                <w:rFonts w:ascii="Arial"/>
                <w:b/>
                <w:spacing w:val="-3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Liabilities</w:t>
            </w:r>
            <w:r>
              <w:rPr>
                <w:rFonts w:ascii="Arial"/>
                <w:sz w:val="16"/>
              </w:rPr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Accounts</w:t>
            </w:r>
            <w:r>
              <w:rPr>
                <w:rFonts w:ascii="Arial"/>
                <w:spacing w:val="-5"/>
                <w:sz w:val="16"/>
              </w:rPr>
              <w:t> </w:t>
            </w:r>
            <w:r>
              <w:rPr>
                <w:rFonts w:ascii="Arial"/>
                <w:sz w:val="16"/>
              </w:rPr>
              <w:t>Payable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Notes</w:t>
            </w:r>
            <w:r>
              <w:rPr>
                <w:rFonts w:ascii="Arial"/>
                <w:spacing w:val="-5"/>
                <w:sz w:val="16"/>
              </w:rPr>
              <w:t> </w:t>
            </w:r>
            <w:r>
              <w:rPr>
                <w:rFonts w:ascii="Arial"/>
                <w:sz w:val="16"/>
              </w:rPr>
              <w:t>Payable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Current Portion of Long-Term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Liabilities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Customer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Deposits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Taxes</w:t>
            </w:r>
            <w:r>
              <w:rPr>
                <w:rFonts w:ascii="Arial"/>
                <w:spacing w:val="-5"/>
                <w:sz w:val="16"/>
              </w:rPr>
              <w:t> </w:t>
            </w:r>
            <w:r>
              <w:rPr>
                <w:rFonts w:ascii="Arial"/>
                <w:sz w:val="16"/>
              </w:rPr>
              <w:t>Payable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Interest</w:t>
            </w:r>
            <w:r>
              <w:rPr>
                <w:rFonts w:ascii="Arial"/>
                <w:spacing w:val="-4"/>
                <w:sz w:val="16"/>
              </w:rPr>
              <w:t> </w:t>
            </w:r>
            <w:r>
              <w:rPr>
                <w:rFonts w:ascii="Arial"/>
                <w:sz w:val="16"/>
              </w:rPr>
              <w:t>Payable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80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4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CC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27" w:hRule="exact"/>
        </w:trPr>
        <w:tc>
          <w:tcPr>
            <w:tcW w:w="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Total Current</w:t>
            </w:r>
            <w:r>
              <w:rPr>
                <w:rFonts w:ascii="Arial"/>
                <w:b/>
                <w:spacing w:val="-21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Liabilities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9" w:hRule="exact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>
              <w:pStyle w:val="TableParagraph"/>
              <w:spacing w:line="247" w:lineRule="auto" w:before="114"/>
              <w:ind w:left="265" w:right="247" w:hanging="48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Long-Term</w:t>
            </w:r>
            <w:r>
              <w:rPr>
                <w:rFonts w:ascii="Arial"/>
                <w:b/>
                <w:spacing w:val="-1"/>
                <w:w w:val="99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Liabilities</w:t>
            </w:r>
            <w:r>
              <w:rPr>
                <w:rFonts w:ascii="Arial"/>
                <w:sz w:val="16"/>
              </w:rPr>
            </w:r>
          </w:p>
        </w:tc>
        <w:tc>
          <w:tcPr>
            <w:tcW w:w="342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Long-Term Debts</w:t>
            </w:r>
            <w:r>
              <w:rPr>
                <w:rFonts w:ascii="Arial"/>
                <w:spacing w:val="-3"/>
                <w:sz w:val="16"/>
              </w:rPr>
              <w:t> </w:t>
            </w:r>
            <w:r>
              <w:rPr>
                <w:rFonts w:ascii="Arial"/>
                <w:sz w:val="16"/>
              </w:rPr>
              <w:t>(Loans)</w:t>
            </w:r>
          </w:p>
        </w:tc>
        <w:tc>
          <w:tcPr>
            <w:tcW w:w="135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7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CCFFC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2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8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FFFF9A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45" w:hRule="exact"/>
        </w:trPr>
        <w:tc>
          <w:tcPr>
            <w:tcW w:w="614" w:type="dxa"/>
            <w:vMerge/>
            <w:tcBorders>
              <w:left w:val="single" w:sz="4" w:space="0" w:color="000000"/>
              <w:bottom w:val="single" w:sz="17" w:space="0" w:color="CCFFFF"/>
              <w:right w:val="single" w:sz="4" w:space="0" w:color="000000"/>
            </w:tcBorders>
            <w:shd w:val="clear" w:color="auto" w:fill="FFFF9A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17" w:space="0" w:color="CCFFFF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Total Long-Term</w:t>
            </w:r>
            <w:r>
              <w:rPr>
                <w:rFonts w:ascii="Arial"/>
                <w:b/>
                <w:spacing w:val="-19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Liabilities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FF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FF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FF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CCFFFF"/>
              <w:right w:val="single" w:sz="4" w:space="0" w:color="000000"/>
            </w:tcBorders>
            <w:shd w:val="clear" w:color="auto" w:fill="FFFF9A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45" w:hRule="exact"/>
        </w:trPr>
        <w:tc>
          <w:tcPr>
            <w:tcW w:w="4034" w:type="dxa"/>
            <w:gridSpan w:val="2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>
            <w:pPr>
              <w:pStyle w:val="TableParagraph"/>
              <w:spacing w:line="240" w:lineRule="auto" w:before="19"/>
              <w:ind w:left="71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Sub-Total</w:t>
            </w:r>
            <w:r>
              <w:rPr>
                <w:rFonts w:ascii="Arial"/>
                <w:b/>
                <w:spacing w:val="-18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Liabilities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>
            <w:pPr>
              <w:pStyle w:val="TableParagraph"/>
              <w:spacing w:line="240" w:lineRule="auto" w:before="19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>
            <w:pPr>
              <w:pStyle w:val="TableParagraph"/>
              <w:spacing w:line="240" w:lineRule="auto" w:before="19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>
            <w:pPr>
              <w:pStyle w:val="TableParagraph"/>
              <w:spacing w:line="240" w:lineRule="auto" w:before="20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FFFF9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>
            <w:pPr>
              <w:pStyle w:val="TableParagraph"/>
              <w:spacing w:line="240" w:lineRule="auto" w:before="19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9" w:hRule="exact"/>
        </w:trPr>
        <w:tc>
          <w:tcPr>
            <w:tcW w:w="614" w:type="dxa"/>
            <w:vMerge w:val="restart"/>
            <w:tcBorders>
              <w:top w:val="single" w:sz="14" w:space="0" w:color="CCFFFF"/>
              <w:left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2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Equity</w:t>
            </w:r>
            <w:r>
              <w:rPr>
                <w:rFonts w:ascii="Arial"/>
                <w:sz w:val="16"/>
              </w:rPr>
            </w:r>
          </w:p>
        </w:tc>
        <w:tc>
          <w:tcPr>
            <w:tcW w:w="3420" w:type="dxa"/>
            <w:tcBorders>
              <w:top w:val="single" w:sz="14" w:space="0" w:color="CC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Paid in</w:t>
            </w:r>
            <w:r>
              <w:rPr>
                <w:rFonts w:ascii="Arial"/>
                <w:spacing w:val="-4"/>
                <w:sz w:val="16"/>
              </w:rPr>
              <w:t> </w:t>
            </w:r>
            <w:r>
              <w:rPr>
                <w:rFonts w:ascii="Arial"/>
                <w:sz w:val="16"/>
              </w:rPr>
              <w:t>Capital</w:t>
            </w:r>
          </w:p>
        </w:tc>
        <w:tc>
          <w:tcPr>
            <w:tcW w:w="1350" w:type="dxa"/>
            <w:tcBorders>
              <w:top w:val="single" w:sz="14" w:space="0" w:color="CC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CC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7" w:space="0" w:color="CC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CC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63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Retained</w:t>
            </w:r>
            <w:r>
              <w:rPr>
                <w:rFonts w:ascii="Arial"/>
                <w:spacing w:val="-3"/>
                <w:sz w:val="16"/>
              </w:rPr>
              <w:t> </w:t>
            </w:r>
            <w:r>
              <w:rPr>
                <w:rFonts w:ascii="Arial"/>
                <w:sz w:val="16"/>
              </w:rPr>
              <w:t>Earnings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8" w:hRule="exact"/>
        </w:trPr>
        <w:tc>
          <w:tcPr>
            <w:tcW w:w="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7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14" w:space="0" w:color="E6E6E6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28" w:hRule="exact"/>
        </w:trPr>
        <w:tc>
          <w:tcPr>
            <w:tcW w:w="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extDirection w:val="btLr"/>
          </w:tcPr>
          <w:p>
            <w:pPr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Total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Equity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1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88" w:hRule="exact"/>
        </w:trPr>
        <w:tc>
          <w:tcPr>
            <w:tcW w:w="4034" w:type="dxa"/>
            <w:gridSpan w:val="2"/>
            <w:tcBorders>
              <w:top w:val="single" w:sz="14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9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Total Liabilities and</w:t>
            </w:r>
            <w:r>
              <w:rPr>
                <w:rFonts w:ascii="Arial"/>
                <w:b/>
                <w:spacing w:val="-18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Equity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8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8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4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9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  <w:tc>
          <w:tcPr>
            <w:tcW w:w="1350" w:type="dxa"/>
            <w:tcBorders>
              <w:top w:val="single" w:sz="18" w:space="0" w:color="E6E6E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A"/>
          </w:tcPr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w w:val="99"/>
                <w:sz w:val="16"/>
              </w:rPr>
              <w:t>$</w:t>
            </w:r>
            <w:r>
              <w:rPr>
                <w:rFonts w:ascii="Arial"/>
                <w:sz w:val="16"/>
              </w:rPr>
            </w:r>
          </w:p>
        </w:tc>
      </w:tr>
    </w:tbl>
    <w:p>
      <w:pPr>
        <w:spacing w:after="0" w:line="240" w:lineRule="auto"/>
        <w:jc w:val="left"/>
        <w:rPr>
          <w:rFonts w:ascii="Arial" w:hAnsi="Arial" w:cs="Arial" w:eastAsia="Arial"/>
          <w:sz w:val="16"/>
          <w:szCs w:val="16"/>
        </w:rPr>
        <w:sectPr>
          <w:headerReference w:type="default" r:id="rId5"/>
          <w:footerReference w:type="default" r:id="rId6"/>
          <w:type w:val="continuous"/>
          <w:pgSz w:w="12240" w:h="15840"/>
          <w:pgMar w:header="715" w:footer="685" w:top="1240" w:bottom="880" w:left="1320" w:right="1240"/>
          <w:pgNumType w:start="1"/>
        </w:sectPr>
      </w:pPr>
    </w:p>
    <w:p>
      <w:pPr>
        <w:spacing w:line="240" w:lineRule="auto" w:before="10"/>
        <w:rPr>
          <w:rFonts w:ascii="Arial" w:hAnsi="Arial" w:cs="Arial" w:eastAsia="Arial"/>
          <w:sz w:val="16"/>
          <w:szCs w:val="16"/>
        </w:rPr>
      </w:pPr>
    </w:p>
    <w:p>
      <w:pPr>
        <w:pStyle w:val="BodyText"/>
        <w:spacing w:line="227" w:lineRule="exact" w:before="74"/>
        <w:ind w:left="120" w:right="0" w:firstLine="0"/>
        <w:jc w:val="left"/>
      </w:pPr>
      <w:r>
        <w:rPr/>
        <w:t>Preparation of this</w:t>
      </w:r>
      <w:r>
        <w:rPr>
          <w:spacing w:val="-17"/>
        </w:rPr>
        <w:t> </w:t>
      </w:r>
      <w:r>
        <w:rPr/>
        <w:t>Form:</w:t>
      </w: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42" w:lineRule="exact" w:before="0" w:after="0"/>
        <w:ind w:left="480" w:right="0" w:hanging="36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sz w:val="20"/>
        </w:rPr>
        <w:t>Enter data where appropriate for the current year (right column) and the two years prior the</w:t>
      </w:r>
      <w:r>
        <w:rPr>
          <w:rFonts w:ascii="Arial"/>
          <w:spacing w:val="-25"/>
          <w:sz w:val="20"/>
        </w:rPr>
        <w:t> </w:t>
      </w:r>
      <w:r>
        <w:rPr>
          <w:rFonts w:ascii="Arial"/>
          <w:sz w:val="20"/>
        </w:rPr>
        <w:t>current.</w:t>
      </w: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45" w:lineRule="exact" w:before="0" w:after="0"/>
        <w:ind w:left="480" w:right="0" w:hanging="36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t>The term “Equity” is used interchangeably with “Net Worth”, “Fund Balance”,</w:t>
      </w:r>
      <w:r>
        <w:rPr>
          <w:rFonts w:ascii="Arial" w:hAnsi="Arial" w:cs="Arial" w:eastAsia="Arial"/>
          <w:spacing w:val="-23"/>
          <w:sz w:val="20"/>
          <w:szCs w:val="20"/>
        </w:rPr>
        <w:t> </w:t>
      </w:r>
      <w:r>
        <w:rPr>
          <w:rFonts w:ascii="Arial" w:hAnsi="Arial" w:cs="Arial" w:eastAsia="Arial"/>
          <w:sz w:val="20"/>
          <w:szCs w:val="20"/>
        </w:rPr>
        <w:t>etc.</w:t>
      </w:r>
    </w:p>
    <w:p>
      <w:pPr>
        <w:spacing w:line="240" w:lineRule="auto" w:before="10"/>
        <w:rPr>
          <w:rFonts w:ascii="Arial" w:hAnsi="Arial" w:cs="Arial" w:eastAsia="Arial"/>
          <w:sz w:val="19"/>
          <w:szCs w:val="19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14"/>
        <w:gridCol w:w="351"/>
        <w:gridCol w:w="813"/>
        <w:gridCol w:w="253"/>
        <w:gridCol w:w="348"/>
        <w:gridCol w:w="4680"/>
      </w:tblGrid>
      <w:tr>
        <w:trPr>
          <w:trHeight w:val="730" w:hRule="exact"/>
        </w:trPr>
        <w:tc>
          <w:tcPr>
            <w:tcW w:w="9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FFFFFF"/>
                <w:sz w:val="16"/>
              </w:rPr>
              <w:t>Balance Sheet</w:t>
            </w:r>
            <w:r>
              <w:rPr>
                <w:rFonts w:ascii="Arial"/>
                <w:b/>
                <w:color w:val="FFFFFF"/>
                <w:spacing w:val="-5"/>
                <w:sz w:val="16"/>
              </w:rPr>
              <w:t> </w:t>
            </w:r>
            <w:r>
              <w:rPr>
                <w:rFonts w:ascii="Arial"/>
                <w:b/>
                <w:color w:val="FFFFFF"/>
                <w:sz w:val="16"/>
              </w:rPr>
              <w:t>Items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i/>
                <w:sz w:val="16"/>
              </w:rPr>
              <w:t>Current</w:t>
            </w:r>
            <w:r>
              <w:rPr>
                <w:rFonts w:ascii="Arial"/>
                <w:i/>
                <w:spacing w:val="-11"/>
                <w:sz w:val="16"/>
              </w:rPr>
              <w:t> </w:t>
            </w:r>
            <w:r>
              <w:rPr>
                <w:rFonts w:ascii="Arial"/>
                <w:i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i/>
                <w:sz w:val="16"/>
              </w:rPr>
              <w:t>Current</w:t>
            </w:r>
            <w:r>
              <w:rPr>
                <w:rFonts w:ascii="Arial"/>
                <w:i/>
                <w:spacing w:val="-6"/>
                <w:sz w:val="16"/>
              </w:rPr>
              <w:t> </w:t>
            </w:r>
            <w:r>
              <w:rPr>
                <w:rFonts w:ascii="Arial"/>
                <w:i/>
                <w:sz w:val="16"/>
              </w:rPr>
              <w:t>Liabilities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sz w:val="15"/>
                <w:szCs w:val="15"/>
              </w:rPr>
            </w:pPr>
          </w:p>
          <w:p>
            <w:pPr>
              <w:pStyle w:val="TableParagraph"/>
              <w:spacing w:line="184" w:lineRule="exact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Cash on hand and in</w:t>
            </w:r>
            <w:r>
              <w:rPr>
                <w:rFonts w:ascii="Arial"/>
                <w:spacing w:val="-3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Banks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Includes undeposited cash and demand</w:t>
            </w:r>
            <w:r>
              <w:rPr>
                <w:rFonts w:ascii="Arial"/>
                <w:spacing w:val="-8"/>
                <w:sz w:val="16"/>
              </w:rPr>
              <w:t> </w:t>
            </w:r>
            <w:r>
              <w:rPr>
                <w:rFonts w:ascii="Arial"/>
                <w:sz w:val="16"/>
              </w:rPr>
              <w:t>deposits.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4" w:lineRule="exact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Accounts</w:t>
            </w:r>
            <w:r>
              <w:rPr>
                <w:rFonts w:ascii="Arial"/>
                <w:spacing w:val="-5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Payable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103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Amounts due to creditors for goods delivered or</w:t>
            </w:r>
            <w:r>
              <w:rPr>
                <w:rFonts w:ascii="Arial"/>
                <w:spacing w:val="8"/>
                <w:sz w:val="16"/>
              </w:rPr>
              <w:t> </w:t>
            </w:r>
            <w:r>
              <w:rPr>
                <w:rFonts w:ascii="Arial"/>
                <w:sz w:val="16"/>
              </w:rPr>
              <w:t>services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completed.</w:t>
            </w:r>
          </w:p>
        </w:tc>
      </w:tr>
      <w:tr>
        <w:trPr>
          <w:trHeight w:val="731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Time Deposits and Short Term</w:t>
            </w:r>
            <w:r>
              <w:rPr>
                <w:rFonts w:ascii="Arial"/>
                <w:spacing w:val="-6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Investments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1"/>
              <w:ind w:left="103" w:right="103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Funds in savings accounts and certificates of deposit</w:t>
            </w:r>
            <w:r>
              <w:rPr>
                <w:rFonts w:ascii="Arial"/>
                <w:spacing w:val="41"/>
                <w:sz w:val="16"/>
              </w:rPr>
              <w:t> </w:t>
            </w:r>
            <w:r>
              <w:rPr>
                <w:rFonts w:ascii="Arial"/>
                <w:sz w:val="16"/>
              </w:rPr>
              <w:t>maturing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within one</w:t>
            </w:r>
            <w:r>
              <w:rPr>
                <w:rFonts w:ascii="Arial"/>
                <w:spacing w:val="-4"/>
                <w:sz w:val="16"/>
              </w:rPr>
              <w:t> </w:t>
            </w:r>
            <w:r>
              <w:rPr>
                <w:rFonts w:ascii="Arial"/>
                <w:sz w:val="16"/>
              </w:rPr>
              <w:t>year.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Notes</w:t>
            </w:r>
            <w:r>
              <w:rPr>
                <w:rFonts w:ascii="Arial"/>
                <w:spacing w:val="-4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Payable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1"/>
              <w:ind w:left="103" w:right="101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Amounts due to banks and other creditors for which</w:t>
            </w:r>
            <w:r>
              <w:rPr>
                <w:rFonts w:ascii="Arial"/>
                <w:spacing w:val="42"/>
                <w:sz w:val="16"/>
              </w:rPr>
              <w:t> </w:t>
            </w: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promissory note has been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signed.</w:t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4" w:lineRule="exact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Accounts</w:t>
            </w:r>
            <w:r>
              <w:rPr>
                <w:rFonts w:ascii="Arial"/>
                <w:spacing w:val="-4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Receivable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10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Amounts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billed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but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not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paid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by</w:t>
            </w:r>
            <w:r>
              <w:rPr>
                <w:rFonts w:ascii="Arial"/>
                <w:spacing w:val="18"/>
                <w:sz w:val="16"/>
              </w:rPr>
              <w:t> </w:t>
            </w:r>
            <w:r>
              <w:rPr>
                <w:rFonts w:ascii="Arial"/>
                <w:sz w:val="16"/>
              </w:rPr>
              <w:t>customers,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users,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etc.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This</w:t>
            </w:r>
            <w:r>
              <w:rPr>
                <w:rFonts w:ascii="Arial"/>
                <w:spacing w:val="19"/>
                <w:sz w:val="16"/>
              </w:rPr>
              <w:t> </w:t>
            </w:r>
            <w:r>
              <w:rPr>
                <w:rFonts w:ascii="Arial"/>
                <w:sz w:val="16"/>
              </w:rPr>
              <w:t>is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the gross amount before any allowances in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item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4" w:lineRule="exact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Current Portion of long-term</w:t>
            </w:r>
            <w:r>
              <w:rPr>
                <w:rFonts w:ascii="Arial"/>
                <w:spacing w:val="-3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debt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105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Amount due for principal payment during the next 12</w:t>
            </w:r>
            <w:r>
              <w:rPr>
                <w:rFonts w:ascii="Arial"/>
                <w:spacing w:val="33"/>
                <w:sz w:val="16"/>
              </w:rPr>
              <w:t> </w:t>
            </w:r>
            <w:r>
              <w:rPr>
                <w:rFonts w:ascii="Arial"/>
                <w:sz w:val="16"/>
              </w:rPr>
              <w:t>months.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Includes any payments which are in</w:t>
            </w:r>
            <w:r>
              <w:rPr>
                <w:rFonts w:ascii="Arial"/>
                <w:spacing w:val="-7"/>
                <w:sz w:val="16"/>
              </w:rPr>
              <w:t> </w:t>
            </w:r>
            <w:r>
              <w:rPr>
                <w:rFonts w:ascii="Arial"/>
                <w:sz w:val="16"/>
              </w:rPr>
              <w:t>arrears.</w:t>
            </w:r>
          </w:p>
        </w:tc>
      </w:tr>
      <w:tr>
        <w:trPr>
          <w:trHeight w:val="730" w:hRule="exact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81"/>
              <w:ind w:left="103" w:right="57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Allowance for Doubtful</w:t>
            </w:r>
            <w:r>
              <w:rPr>
                <w:rFonts w:ascii="Arial"/>
                <w:spacing w:val="-1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Accounts</w:t>
            </w: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Amounts included in item 3</w:t>
            </w:r>
            <w:r>
              <w:rPr>
                <w:rFonts w:ascii="Arial"/>
                <w:spacing w:val="7"/>
                <w:sz w:val="16"/>
              </w:rPr>
              <w:t> </w:t>
            </w:r>
            <w:r>
              <w:rPr>
                <w:rFonts w:ascii="Arial"/>
                <w:sz w:val="16"/>
              </w:rPr>
              <w:t>which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uncollectible.</w:t>
            </w:r>
          </w:p>
        </w:tc>
        <w:tc>
          <w:tcPr>
            <w:tcW w:w="35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are</w:t>
            </w:r>
          </w:p>
        </w:tc>
        <w:tc>
          <w:tcPr>
            <w:tcW w:w="813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estimated</w:t>
            </w:r>
          </w:p>
        </w:tc>
        <w:tc>
          <w:tcPr>
            <w:tcW w:w="253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</w:t>
            </w:r>
          </w:p>
        </w:tc>
        <w:tc>
          <w:tcPr>
            <w:tcW w:w="348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be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sz w:val="15"/>
                <w:szCs w:val="15"/>
              </w:rPr>
            </w:pPr>
          </w:p>
          <w:p>
            <w:pPr>
              <w:pStyle w:val="TableParagraph"/>
              <w:spacing w:line="184" w:lineRule="exact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Customer</w:t>
            </w:r>
            <w:r>
              <w:rPr>
                <w:rFonts w:ascii="Arial"/>
                <w:spacing w:val="-3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Deposits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Funds of various kinds held for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others.</w:t>
            </w:r>
          </w:p>
        </w:tc>
      </w:tr>
      <w:tr>
        <w:trPr>
          <w:trHeight w:val="731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Inventories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 total of all materials, supplies and finished goods on</w:t>
            </w:r>
            <w:r>
              <w:rPr>
                <w:rFonts w:ascii="Arial"/>
                <w:spacing w:val="-8"/>
                <w:sz w:val="16"/>
              </w:rPr>
              <w:t> </w:t>
            </w:r>
            <w:r>
              <w:rPr>
                <w:rFonts w:ascii="Arial"/>
                <w:sz w:val="16"/>
              </w:rPr>
              <w:t>hand.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Taxes</w:t>
            </w:r>
            <w:r>
              <w:rPr>
                <w:rFonts w:ascii="Arial"/>
                <w:spacing w:val="-2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Payable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4" w:lineRule="exact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Prepayments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101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Payments made in advance of receipt of goods or utilization</w:t>
            </w:r>
            <w:r>
              <w:rPr>
                <w:rFonts w:ascii="Arial"/>
                <w:spacing w:val="37"/>
                <w:sz w:val="16"/>
              </w:rPr>
              <w:t> </w:t>
            </w:r>
            <w:r>
              <w:rPr>
                <w:rFonts w:ascii="Arial"/>
                <w:sz w:val="16"/>
              </w:rPr>
              <w:t>of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services. Examples: rent,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insurance.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4" w:lineRule="exact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Interest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102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 w:hAnsi="Arial" w:cs="Arial" w:eastAsia="Arial"/>
                <w:sz w:val="16"/>
                <w:szCs w:val="16"/>
              </w:rPr>
              <w:t>Payable Interest applicable to principal amount in</w:t>
            </w:r>
            <w:r>
              <w:rPr>
                <w:rFonts w:ascii="Arial" w:hAnsi="Arial" w:cs="Arial" w:eastAsia="Arial"/>
                <w:spacing w:val="20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</w:rPr>
              <w:t>“Current</w:t>
            </w:r>
            <w:r>
              <w:rPr>
                <w:rFonts w:ascii="Arial" w:hAnsi="Arial" w:cs="Arial" w:eastAsia="Arial"/>
                <w:w w:val="99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</w:rPr>
              <w:t>Portion of Long-Term</w:t>
            </w:r>
            <w:r>
              <w:rPr>
                <w:rFonts w:ascii="Arial" w:hAnsi="Arial" w:cs="Arial" w:eastAsia="Arial"/>
                <w:spacing w:val="-4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</w:rPr>
              <w:t>Debt.</w:t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List other current assets not included</w:t>
            </w:r>
            <w:r>
              <w:rPr>
                <w:rFonts w:ascii="Arial"/>
                <w:spacing w:val="-9"/>
                <w:sz w:val="16"/>
              </w:rPr>
              <w:t> </w:t>
            </w:r>
            <w:r>
              <w:rPr>
                <w:rFonts w:ascii="Arial"/>
                <w:sz w:val="16"/>
              </w:rPr>
              <w:t>above.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List other payables and accruals not shown</w:t>
            </w:r>
            <w:r>
              <w:rPr>
                <w:rFonts w:ascii="Arial"/>
                <w:spacing w:val="-7"/>
                <w:sz w:val="16"/>
              </w:rPr>
              <w:t> </w:t>
            </w:r>
            <w:r>
              <w:rPr>
                <w:rFonts w:ascii="Arial"/>
                <w:sz w:val="16"/>
              </w:rPr>
              <w:t>above.</w:t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i/>
                <w:sz w:val="16"/>
              </w:rPr>
              <w:t>Fixed</w:t>
            </w:r>
            <w:r>
              <w:rPr>
                <w:rFonts w:ascii="Arial"/>
                <w:i/>
                <w:spacing w:val="-4"/>
                <w:sz w:val="16"/>
              </w:rPr>
              <w:t> </w:t>
            </w:r>
            <w:r>
              <w:rPr>
                <w:rFonts w:ascii="Arial"/>
                <w:i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i/>
                <w:sz w:val="16"/>
              </w:rPr>
              <w:t>Long-Term</w:t>
            </w:r>
            <w:r>
              <w:rPr>
                <w:rFonts w:ascii="Arial"/>
                <w:i/>
                <w:spacing w:val="-5"/>
                <w:sz w:val="16"/>
              </w:rPr>
              <w:t> </w:t>
            </w:r>
            <w:r>
              <w:rPr>
                <w:rFonts w:ascii="Arial"/>
                <w:i/>
                <w:sz w:val="16"/>
              </w:rPr>
              <w:t>Liabilities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03" w:right="103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List land, buildings, furniture and equipment separately</w:t>
            </w:r>
            <w:r>
              <w:rPr>
                <w:rFonts w:ascii="Arial"/>
                <w:spacing w:val="6"/>
                <w:sz w:val="16"/>
              </w:rPr>
              <w:t> </w:t>
            </w:r>
            <w:r>
              <w:rPr>
                <w:rFonts w:ascii="Arial"/>
                <w:sz w:val="16"/>
              </w:rPr>
              <w:t>by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gross</w:t>
            </w:r>
            <w:r>
              <w:rPr>
                <w:rFonts w:ascii="Arial"/>
                <w:spacing w:val="-3"/>
                <w:sz w:val="16"/>
              </w:rPr>
              <w:t> </w:t>
            </w:r>
            <w:r>
              <w:rPr>
                <w:rFonts w:ascii="Arial"/>
                <w:sz w:val="16"/>
              </w:rPr>
              <w:t>value.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4" w:lineRule="exact" w:before="82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Long-term debts</w:t>
            </w:r>
            <w:r>
              <w:rPr>
                <w:rFonts w:ascii="Arial"/>
                <w:spacing w:val="-3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(loans)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101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List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total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principal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payments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to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creditors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which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mature</w:t>
            </w:r>
            <w:r>
              <w:rPr>
                <w:rFonts w:ascii="Arial"/>
                <w:spacing w:val="34"/>
                <w:sz w:val="16"/>
              </w:rPr>
              <w:t> </w:t>
            </w:r>
            <w:r>
              <w:rPr>
                <w:rFonts w:ascii="Arial"/>
                <w:sz w:val="16"/>
              </w:rPr>
              <w:t>after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one year and are not included in line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21.</w:t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List other fixed</w:t>
            </w:r>
            <w:r>
              <w:rPr>
                <w:rFonts w:ascii="Arial"/>
                <w:spacing w:val="-3"/>
                <w:sz w:val="16"/>
              </w:rPr>
              <w:t> </w:t>
            </w:r>
            <w:r>
              <w:rPr>
                <w:rFonts w:ascii="Arial"/>
                <w:sz w:val="16"/>
              </w:rPr>
              <w:t>assets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03" w:right="102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List</w:t>
            </w:r>
            <w:r>
              <w:rPr>
                <w:rFonts w:ascii="Arial"/>
                <w:spacing w:val="23"/>
                <w:sz w:val="16"/>
              </w:rPr>
              <w:t> </w:t>
            </w:r>
            <w:r>
              <w:rPr>
                <w:rFonts w:ascii="Arial"/>
                <w:sz w:val="16"/>
              </w:rPr>
              <w:t>all</w:t>
            </w:r>
            <w:r>
              <w:rPr>
                <w:rFonts w:ascii="Arial"/>
                <w:spacing w:val="23"/>
                <w:sz w:val="16"/>
              </w:rPr>
              <w:t> </w:t>
            </w:r>
            <w:r>
              <w:rPr>
                <w:rFonts w:ascii="Arial"/>
                <w:sz w:val="16"/>
              </w:rPr>
              <w:t>other</w:t>
            </w:r>
            <w:r>
              <w:rPr>
                <w:rFonts w:ascii="Arial"/>
                <w:spacing w:val="23"/>
                <w:sz w:val="16"/>
              </w:rPr>
              <w:t> </w:t>
            </w:r>
            <w:r>
              <w:rPr>
                <w:rFonts w:ascii="Arial"/>
                <w:sz w:val="16"/>
              </w:rPr>
              <w:t>long</w:t>
            </w:r>
            <w:r>
              <w:rPr>
                <w:rFonts w:ascii="Arial"/>
                <w:spacing w:val="23"/>
                <w:sz w:val="16"/>
              </w:rPr>
              <w:t> </w:t>
            </w:r>
            <w:r>
              <w:rPr>
                <w:rFonts w:ascii="Arial"/>
                <w:sz w:val="16"/>
              </w:rPr>
              <w:t>term</w:t>
            </w:r>
            <w:r>
              <w:rPr>
                <w:rFonts w:ascii="Arial"/>
                <w:spacing w:val="25"/>
                <w:sz w:val="16"/>
              </w:rPr>
              <w:t> </w:t>
            </w:r>
            <w:r>
              <w:rPr>
                <w:rFonts w:ascii="Arial"/>
                <w:sz w:val="16"/>
              </w:rPr>
              <w:t>liabilities</w:t>
            </w:r>
            <w:r>
              <w:rPr>
                <w:rFonts w:ascii="Arial"/>
                <w:spacing w:val="22"/>
                <w:sz w:val="16"/>
              </w:rPr>
              <w:t> </w:t>
            </w:r>
            <w:r>
              <w:rPr>
                <w:rFonts w:ascii="Arial"/>
                <w:sz w:val="16"/>
              </w:rPr>
              <w:t>such</w:t>
            </w:r>
            <w:r>
              <w:rPr>
                <w:rFonts w:ascii="Arial"/>
                <w:spacing w:val="23"/>
                <w:sz w:val="16"/>
              </w:rPr>
              <w:t> </w:t>
            </w:r>
            <w:r>
              <w:rPr>
                <w:rFonts w:ascii="Arial"/>
                <w:sz w:val="16"/>
              </w:rPr>
              <w:t>as</w:t>
            </w:r>
            <w:r>
              <w:rPr>
                <w:rFonts w:ascii="Arial"/>
                <w:spacing w:val="23"/>
                <w:sz w:val="16"/>
              </w:rPr>
              <w:t> </w:t>
            </w:r>
            <w:r>
              <w:rPr>
                <w:rFonts w:ascii="Arial"/>
                <w:sz w:val="16"/>
              </w:rPr>
              <w:t>bonds,</w:t>
            </w:r>
            <w:r>
              <w:rPr>
                <w:rFonts w:ascii="Arial"/>
                <w:spacing w:val="25"/>
                <w:sz w:val="16"/>
              </w:rPr>
              <w:t> </w:t>
            </w:r>
            <w:r>
              <w:rPr>
                <w:rFonts w:ascii="Arial"/>
                <w:sz w:val="16"/>
              </w:rPr>
              <w:t>bank</w:t>
            </w:r>
            <w:r>
              <w:rPr>
                <w:rFonts w:ascii="Arial"/>
                <w:spacing w:val="23"/>
                <w:sz w:val="16"/>
              </w:rPr>
              <w:t> </w:t>
            </w:r>
            <w:r>
              <w:rPr>
                <w:rFonts w:ascii="Arial"/>
                <w:sz w:val="16"/>
              </w:rPr>
              <w:t>loans,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etc. which are due after one</w:t>
            </w:r>
            <w:r>
              <w:rPr>
                <w:rFonts w:ascii="Arial"/>
                <w:spacing w:val="-7"/>
                <w:sz w:val="16"/>
              </w:rPr>
              <w:t> </w:t>
            </w:r>
            <w:r>
              <w:rPr>
                <w:rFonts w:ascii="Arial"/>
                <w:sz w:val="16"/>
              </w:rPr>
              <w:t>year.</w:t>
            </w:r>
          </w:p>
        </w:tc>
      </w:tr>
      <w:tr>
        <w:trPr>
          <w:trHeight w:val="731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Accumulated</w:t>
            </w:r>
            <w:r>
              <w:rPr>
                <w:rFonts w:ascii="Arial"/>
                <w:spacing w:val="-5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Depreciation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Indicate total accumulated depreciation for items</w:t>
            </w:r>
            <w:r>
              <w:rPr>
                <w:rFonts w:ascii="Arial"/>
                <w:spacing w:val="-9"/>
                <w:sz w:val="16"/>
              </w:rPr>
              <w:t> </w:t>
            </w:r>
            <w:r>
              <w:rPr>
                <w:rFonts w:ascii="Arial"/>
                <w:sz w:val="16"/>
              </w:rPr>
              <w:t>above.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N/A</w:t>
            </w:r>
          </w:p>
        </w:tc>
      </w:tr>
      <w:tr>
        <w:trPr>
          <w:trHeight w:val="729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i/>
                <w:sz w:val="16"/>
              </w:rPr>
              <w:t>Other</w:t>
            </w:r>
            <w:r>
              <w:rPr>
                <w:rFonts w:ascii="Arial"/>
                <w:i/>
                <w:spacing w:val="-3"/>
                <w:sz w:val="16"/>
              </w:rPr>
              <w:t> </w:t>
            </w:r>
            <w:r>
              <w:rPr>
                <w:rFonts w:ascii="Arial"/>
                <w:i/>
                <w:sz w:val="16"/>
              </w:rPr>
              <w:t>Assets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i/>
                <w:sz w:val="16"/>
              </w:rPr>
              <w:t>Equity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730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List other assets not previously accounted</w:t>
            </w:r>
            <w:r>
              <w:rPr>
                <w:rFonts w:ascii="Arial"/>
                <w:spacing w:val="-9"/>
                <w:sz w:val="16"/>
              </w:rPr>
              <w:t> </w:t>
            </w:r>
            <w:r>
              <w:rPr>
                <w:rFonts w:ascii="Arial"/>
                <w:sz w:val="16"/>
              </w:rPr>
              <w:t>for.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4" w:lineRule="exact" w:before="8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Retained</w:t>
            </w:r>
            <w:r>
              <w:rPr>
                <w:rFonts w:ascii="Arial"/>
                <w:spacing w:val="-3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Earnings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/>
              <w:ind w:left="103" w:right="103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Net income which has been accumulated from the </w:t>
            </w:r>
            <w:r>
              <w:rPr>
                <w:rFonts w:ascii="Arial"/>
                <w:spacing w:val="29"/>
                <w:sz w:val="16"/>
              </w:rPr>
              <w:t> </w:t>
            </w:r>
            <w:r>
              <w:rPr>
                <w:rFonts w:ascii="Arial"/>
                <w:sz w:val="16"/>
              </w:rPr>
              <w:t>beginning</w:t>
            </w:r>
            <w:r>
              <w:rPr>
                <w:rFonts w:ascii="Arial"/>
                <w:w w:val="99"/>
                <w:sz w:val="16"/>
              </w:rPr>
              <w:t> </w:t>
            </w:r>
            <w:r>
              <w:rPr>
                <w:rFonts w:ascii="Arial"/>
                <w:sz w:val="16"/>
              </w:rPr>
              <w:t>of the operation and not distributed to members, users,</w:t>
            </w:r>
            <w:r>
              <w:rPr>
                <w:rFonts w:ascii="Arial"/>
                <w:spacing w:val="-7"/>
                <w:sz w:val="16"/>
              </w:rPr>
              <w:t> </w:t>
            </w:r>
            <w:r>
              <w:rPr>
                <w:rFonts w:ascii="Arial"/>
                <w:sz w:val="16"/>
              </w:rPr>
              <w:t>etc.</w:t>
            </w:r>
          </w:p>
        </w:tc>
      </w:tr>
      <w:tr>
        <w:trPr>
          <w:trHeight w:val="731" w:hRule="exact"/>
        </w:trPr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N/A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w w:val="99"/>
                <w:sz w:val="16"/>
              </w:rPr>
            </w:r>
            <w:r>
              <w:rPr>
                <w:rFonts w:ascii="Arial"/>
                <w:sz w:val="16"/>
                <w:u w:val="single" w:color="000000"/>
              </w:rPr>
              <w:t>Paid in</w:t>
            </w:r>
            <w:r>
              <w:rPr>
                <w:rFonts w:ascii="Arial"/>
                <w:spacing w:val="-3"/>
                <w:sz w:val="16"/>
                <w:u w:val="single" w:color="000000"/>
              </w:rPr>
              <w:t> </w:t>
            </w:r>
            <w:r>
              <w:rPr>
                <w:rFonts w:ascii="Arial"/>
                <w:sz w:val="16"/>
                <w:u w:val="single" w:color="000000"/>
              </w:rPr>
              <w:t>C</w:t>
            </w:r>
            <w:r>
              <w:rPr>
                <w:rFonts w:ascii="Arial"/>
                <w:sz w:val="16"/>
              </w:rPr>
              <w:t>apital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Capital injected by business</w:t>
            </w:r>
            <w:r>
              <w:rPr>
                <w:rFonts w:ascii="Arial"/>
                <w:spacing w:val="-6"/>
                <w:sz w:val="16"/>
              </w:rPr>
              <w:t> </w:t>
            </w:r>
            <w:r>
              <w:rPr>
                <w:rFonts w:ascii="Arial"/>
                <w:sz w:val="16"/>
              </w:rPr>
              <w:t>owner(s)</w:t>
            </w:r>
          </w:p>
        </w:tc>
      </w:tr>
    </w:tbl>
    <w:sectPr>
      <w:pgSz w:w="12240" w:h="15840"/>
      <w:pgMar w:header="715" w:footer="685" w:top="1240" w:bottom="880" w:left="132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498.140015pt;margin-top:746.733704pt;width:42.85pt;height:10pt;mso-position-horizontal-relative:page;mso-position-vertical-relative:page;z-index:-26776" type="#_x0000_t202" filled="false" stroked="false">
          <v:textbox inset="0,0,0,0">
            <w:txbxContent>
              <w:p>
                <w:pPr>
                  <w:spacing w:line="183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>
                  <w:rPr>
                    <w:rFonts w:ascii="Arial"/>
                    <w:w w:val="99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> </w:t>
                </w:r>
                <w:r>
                  <w:rPr>
                    <w:rFonts w:ascii="Arial"/>
                    <w:w w:val="99"/>
                    <w:sz w:val="16"/>
                  </w:rPr>
                </w:r>
                <w:r>
                  <w:rPr/>
                  <w:fldChar w:fldCharType="begin"/>
                </w:r>
                <w:r>
                  <w:rPr>
                    <w:rFonts w:ascii="Arial"/>
                    <w:w w:val="99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Arial"/>
                    <w:sz w:val="16"/>
                  </w:rPr>
                  <w:t> </w:t>
                </w:r>
                <w:r>
                  <w:rPr>
                    <w:rFonts w:ascii="Arial"/>
                    <w:w w:val="99"/>
                    <w:sz w:val="16"/>
                  </w:rPr>
                  <w:t>of</w:t>
                </w:r>
                <w:r>
                  <w:rPr>
                    <w:rFonts w:ascii="Arial"/>
                    <w:sz w:val="16"/>
                  </w:rPr>
                  <w:t> </w:t>
                </w:r>
                <w:r>
                  <w:rPr>
                    <w:rFonts w:ascii="Arial"/>
                    <w:w w:val="99"/>
                    <w:sz w:val="16"/>
                  </w:rPr>
                  <w:t>2</w:t>
                </w:r>
                <w:r>
                  <w:rPr>
                    <w:rFonts w:ascii="Arial"/>
                    <w:sz w:val="16"/>
                  </w:rPr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71.520012pt;margin-top:35.760021pt;width:469pt;height:26.7pt;mso-position-horizontal-relative:page;mso-position-vertical-relative:page;z-index:-26824" coordorigin="1430,715" coordsize="9380,534">
          <v:group style="position:absolute;left:1445;top:1120;width:9351;height:114" coordorigin="1445,1120" coordsize="9351,114">
            <v:shape style="position:absolute;left:1445;top:1120;width:9351;height:114" coordorigin="1445,1120" coordsize="9351,114" path="m1445,1234l10795,1234,10795,1120,1445,1120,1445,1234xe" filled="true" fillcolor="#000080" stroked="false">
              <v:path arrowok="t"/>
              <v:fill type="solid"/>
            </v:shape>
          </v:group>
          <v:group style="position:absolute;left:1445;top:844;width:104;height:276" coordorigin="1445,844" coordsize="104,276">
            <v:shape style="position:absolute;left:1445;top:844;width:104;height:276" coordorigin="1445,844" coordsize="104,276" path="m1445,1120l1548,1120,1548,844,1445,844,1445,1120xe" filled="true" fillcolor="#000080" stroked="false">
              <v:path arrowok="t"/>
              <v:fill type="solid"/>
            </v:shape>
          </v:group>
          <v:group style="position:absolute;left:1445;top:730;width:9351;height:114" coordorigin="1445,730" coordsize="9351,114">
            <v:shape style="position:absolute;left:1445;top:730;width:9351;height:114" coordorigin="1445,730" coordsize="9351,114" path="m1445,844l10795,844,10795,730,1445,730,1445,844xe" filled="true" fillcolor="#000080" stroked="false">
              <v:path arrowok="t"/>
              <v:fill type="solid"/>
            </v:shape>
          </v:group>
          <v:group style="position:absolute;left:10692;top:844;width:104;height:276" coordorigin="10692,844" coordsize="104,276">
            <v:shape style="position:absolute;left:10692;top:844;width:104;height:276" coordorigin="10692,844" coordsize="104,276" path="m10795,844l10692,844,10692,1120,10795,1120,10795,844xe" filled="true" fillcolor="#000080" stroked="false">
              <v:path arrowok="t"/>
              <v:fill type="solid"/>
            </v:shape>
          </v:group>
          <v:group style="position:absolute;left:1548;top:844;width:9144;height:276" coordorigin="1548,844" coordsize="9144,276">
            <v:shape style="position:absolute;left:1548;top:844;width:9144;height:276" coordorigin="1548,844" coordsize="9144,276" path="m1548,1120l10692,1120,10692,844,1548,844,1548,1120xe" filled="true" fillcolor="#000080" stroked="false">
              <v:path arrowok="t"/>
              <v:fill type="solid"/>
            </v:shape>
          </v:group>
          <v:group style="position:absolute;left:1435;top:725;width:9370;height:2" coordorigin="1435,725" coordsize="9370,2">
            <v:shape style="position:absolute;left:1435;top:725;width:9370;height:2" coordorigin="1435,725" coordsize="9370,0" path="m1435,725l10805,725e" filled="false" stroked="true" strokeweight=".47998pt" strokecolor="#000000">
              <v:path arrowok="t"/>
            </v:shape>
          </v:group>
          <v:group style="position:absolute;left:1440;top:720;width:2;height:525" coordorigin="1440,720" coordsize="2,525">
            <v:shape style="position:absolute;left:1440;top:720;width:2;height:525" coordorigin="1440,720" coordsize="0,525" path="m1440,720l1440,1244e" filled="false" stroked="true" strokeweight=".48pt" strokecolor="#000000">
              <v:path arrowok="t"/>
            </v:shape>
          </v:group>
          <v:group style="position:absolute;left:1435;top:1240;width:9360;height:2" coordorigin="1435,1240" coordsize="9360,2">
            <v:shape style="position:absolute;left:1435;top:1240;width:9360;height:2" coordorigin="1435,1240" coordsize="9360,0" path="m1435,1240l10795,1240e" filled="false" stroked="true" strokeweight=".47998pt" strokecolor="#000000">
              <v:path arrowok="t"/>
            </v:shape>
          </v:group>
          <v:group style="position:absolute;left:10800;top:720;width:2;height:525" coordorigin="10800,720" coordsize="2,525">
            <v:shape style="position:absolute;left:10800;top:720;width:2;height:525" coordorigin="10800,720" coordsize="0,525" path="m10800,720l10800,1244e" filled="false" stroked="true" strokeweight=".47998pt" strokecolor="#000000">
              <v:path arrowok="t"/>
            </v:shape>
          </v:group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6.400002pt;margin-top:42.616222pt;width:86.15pt;height:14pt;mso-position-horizontal-relative:page;mso-position-vertical-relative:page;z-index:-26800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19"/>
                    <w:szCs w:val="19"/>
                  </w:rPr>
                </w:pPr>
                <w:r>
                  <w:rPr>
                    <w:rFonts w:ascii="Arial"/>
                    <w:b/>
                    <w:color w:val="FFFFFF"/>
                    <w:spacing w:val="-1"/>
                    <w:sz w:val="24"/>
                  </w:rPr>
                  <w:t>B</w:t>
                </w:r>
                <w:r>
                  <w:rPr>
                    <w:rFonts w:ascii="Arial"/>
                    <w:b/>
                    <w:color w:val="FFFFFF"/>
                    <w:spacing w:val="-1"/>
                    <w:w w:val="99"/>
                    <w:sz w:val="19"/>
                  </w:rPr>
                  <w:t>ALAN</w:t>
                </w:r>
                <w:r>
                  <w:rPr>
                    <w:rFonts w:ascii="Arial"/>
                    <w:b/>
                    <w:color w:val="FFFFFF"/>
                    <w:spacing w:val="1"/>
                    <w:w w:val="99"/>
                    <w:sz w:val="19"/>
                  </w:rPr>
                  <w:t>C</w:t>
                </w:r>
                <w:r>
                  <w:rPr>
                    <w:rFonts w:ascii="Arial"/>
                    <w:b/>
                    <w:color w:val="FFFFFF"/>
                    <w:w w:val="99"/>
                    <w:sz w:val="19"/>
                  </w:rPr>
                  <w:t>E</w:t>
                </w:r>
                <w:r>
                  <w:rPr>
                    <w:rFonts w:ascii="Arial"/>
                    <w:b/>
                    <w:color w:val="FFFFFF"/>
                    <w:sz w:val="19"/>
                  </w:rPr>
                  <w:t> </w:t>
                </w:r>
                <w:r>
                  <w:rPr>
                    <w:rFonts w:ascii="Arial"/>
                    <w:b/>
                    <w:color w:val="FFFFFF"/>
                    <w:sz w:val="24"/>
                  </w:rPr>
                  <w:t>S</w:t>
                </w:r>
                <w:r>
                  <w:rPr>
                    <w:rFonts w:ascii="Arial"/>
                    <w:b/>
                    <w:color w:val="FFFFFF"/>
                    <w:spacing w:val="-1"/>
                    <w:w w:val="99"/>
                    <w:sz w:val="19"/>
                  </w:rPr>
                  <w:t>HEET</w:t>
                </w:r>
                <w:r>
                  <w:rPr>
                    <w:rFonts w:ascii="Arial"/>
                    <w:sz w:val="19"/>
                  </w:rPr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bullet"/>
      <w:lvlText w:val="•"/>
      <w:lvlJc w:val="left"/>
      <w:pPr>
        <w:ind w:left="480" w:hanging="360"/>
      </w:pPr>
      <w:rPr>
        <w:rFonts w:hint="default" w:ascii="Microsoft Sans Serif" w:hAnsi="Microsoft Sans Serif" w:eastAsia="Microsoft Sans Serif"/>
        <w:color w:val="800000"/>
        <w:w w:val="130"/>
        <w:sz w:val="22"/>
        <w:szCs w:val="22"/>
      </w:rPr>
    </w:lvl>
    <w:lvl w:ilvl="1">
      <w:start w:val="1"/>
      <w:numFmt w:val="bullet"/>
      <w:lvlText w:val="•"/>
      <w:lvlJc w:val="left"/>
      <w:pPr>
        <w:ind w:left="1392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04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480" w:hanging="360"/>
    </w:pPr>
    <w:rPr>
      <w:rFonts w:ascii="Arial" w:hAnsi="Arial" w:eastAsia="Arial"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Purchase Area Development District</dc:creator>
  <dc:title>Balance Sheet Projections (Fillable)</dc:title>
  <dcterms:created xsi:type="dcterms:W3CDTF">2015-06-04T15:34:30Z</dcterms:created>
  <dcterms:modified xsi:type="dcterms:W3CDTF">2015-06-04T15:34:30Z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2011-05-06T00:00:00Z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2015-06-04T00:00:00Z</vt:filetime>
  </property>
</Properties>
</file>